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4B115" w14:textId="77777777" w:rsidR="00D406A3" w:rsidRPr="00814A14" w:rsidRDefault="00D406A3" w:rsidP="00D406A3">
      <w:pPr>
        <w:widowControl/>
        <w:autoSpaceDE w:val="0"/>
        <w:autoSpaceDN w:val="0"/>
        <w:adjustRightInd w:val="0"/>
        <w:spacing w:line="276" w:lineRule="auto"/>
        <w:rPr>
          <w:rFonts w:ascii="华文中宋" w:eastAsia="华文中宋" w:hAnsi="华文中宋" w:cs="Helvetica Neue"/>
          <w:b/>
          <w:bCs/>
          <w:kern w:val="0"/>
          <w:sz w:val="32"/>
          <w:szCs w:val="28"/>
        </w:rPr>
      </w:pPr>
      <w:r w:rsidRPr="00814A14">
        <w:rPr>
          <w:rFonts w:ascii="华文中宋" w:eastAsia="华文中宋" w:hAnsi="华文中宋" w:cs="Helvetica Neue" w:hint="eastAsia"/>
          <w:b/>
          <w:bCs/>
          <w:kern w:val="0"/>
          <w:sz w:val="32"/>
          <w:szCs w:val="28"/>
        </w:rPr>
        <w:t>税法合</w:t>
      </w:r>
      <w:proofErr w:type="gramStart"/>
      <w:r w:rsidRPr="00814A14">
        <w:rPr>
          <w:rFonts w:ascii="华文中宋" w:eastAsia="华文中宋" w:hAnsi="华文中宋" w:cs="Helvetica Neue" w:hint="eastAsia"/>
          <w:b/>
          <w:bCs/>
          <w:kern w:val="0"/>
          <w:sz w:val="32"/>
          <w:szCs w:val="28"/>
        </w:rPr>
        <w:t>规</w:t>
      </w:r>
      <w:proofErr w:type="gramEnd"/>
      <w:r w:rsidRPr="00814A14">
        <w:rPr>
          <w:rFonts w:ascii="华文中宋" w:eastAsia="华文中宋" w:hAnsi="华文中宋" w:cs="Helvetica Neue" w:hint="eastAsia"/>
          <w:b/>
          <w:bCs/>
          <w:kern w:val="0"/>
          <w:sz w:val="32"/>
          <w:szCs w:val="28"/>
        </w:rPr>
        <w:t>解决方案</w:t>
      </w:r>
    </w:p>
    <w:p w14:paraId="6E8A4A5E" w14:textId="77777777" w:rsidR="00D406A3" w:rsidRPr="00671584" w:rsidRDefault="00D406A3" w:rsidP="00D406A3">
      <w:pPr>
        <w:pStyle w:val="2"/>
        <w:rPr>
          <w:color w:val="92D050"/>
        </w:rPr>
      </w:pPr>
      <w:bookmarkStart w:id="0" w:name="_Toc78820183"/>
      <w:r w:rsidRPr="00671584">
        <w:rPr>
          <w:rFonts w:hint="eastAsia"/>
          <w:color w:val="92D050"/>
        </w:rPr>
        <w:t>——威科先行法律信息库｜税法</w:t>
      </w:r>
      <w:proofErr w:type="gramStart"/>
      <w:r w:rsidRPr="00671584">
        <w:rPr>
          <w:rFonts w:hint="eastAsia"/>
          <w:color w:val="92D050"/>
        </w:rPr>
        <w:t>合规模块</w:t>
      </w:r>
      <w:bookmarkEnd w:id="0"/>
      <w:proofErr w:type="gramEnd"/>
    </w:p>
    <w:p w14:paraId="4A53ECE3" w14:textId="77777777" w:rsidR="00D406A3" w:rsidRPr="00B67FD6" w:rsidRDefault="00D406A3" w:rsidP="00D406A3">
      <w:pPr>
        <w:pStyle w:val="a5"/>
        <w:spacing w:line="276" w:lineRule="auto"/>
        <w:ind w:left="0"/>
        <w:jc w:val="left"/>
        <w:rPr>
          <w:rStyle w:val="a7"/>
          <w:rFonts w:ascii="华文中宋" w:eastAsia="华文中宋" w:hAnsi="华文中宋"/>
          <w:color w:val="auto"/>
          <w:sz w:val="22"/>
          <w:szCs w:val="18"/>
        </w:rPr>
      </w:pPr>
      <w:r w:rsidRPr="00B67FD6">
        <w:rPr>
          <w:rStyle w:val="a7"/>
          <w:rFonts w:ascii="华文中宋" w:eastAsia="华文中宋" w:hAnsi="华文中宋" w:hint="eastAsia"/>
          <w:color w:val="auto"/>
          <w:sz w:val="22"/>
          <w:szCs w:val="18"/>
        </w:rPr>
        <w:t>为了帮助企业法</w:t>
      </w:r>
      <w:proofErr w:type="gramStart"/>
      <w:r w:rsidRPr="00B67FD6">
        <w:rPr>
          <w:rStyle w:val="a7"/>
          <w:rFonts w:ascii="华文中宋" w:eastAsia="华文中宋" w:hAnsi="华文中宋" w:hint="eastAsia"/>
          <w:color w:val="auto"/>
          <w:sz w:val="22"/>
          <w:szCs w:val="18"/>
        </w:rPr>
        <w:t>务</w:t>
      </w:r>
      <w:proofErr w:type="gramEnd"/>
      <w:r w:rsidRPr="00B67FD6">
        <w:rPr>
          <w:rStyle w:val="a7"/>
          <w:rFonts w:ascii="华文中宋" w:eastAsia="华文中宋" w:hAnsi="华文中宋" w:hint="eastAsia"/>
          <w:color w:val="auto"/>
          <w:sz w:val="22"/>
          <w:szCs w:val="18"/>
        </w:rPr>
        <w:t>及时获取不断变化的税务政策，应对业务流程中的涉税法律问题，防控企业涉税法律风险，威科先行法律信息库通过整合信息资源，引入专家智慧为企业打造了一款实用高效、专属于企业法</w:t>
      </w:r>
      <w:proofErr w:type="gramStart"/>
      <w:r w:rsidRPr="00B67FD6">
        <w:rPr>
          <w:rStyle w:val="a7"/>
          <w:rFonts w:ascii="华文中宋" w:eastAsia="华文中宋" w:hAnsi="华文中宋" w:hint="eastAsia"/>
          <w:color w:val="auto"/>
          <w:sz w:val="22"/>
          <w:szCs w:val="18"/>
        </w:rPr>
        <w:t>务</w:t>
      </w:r>
      <w:proofErr w:type="gramEnd"/>
      <w:r w:rsidRPr="00B67FD6">
        <w:rPr>
          <w:rStyle w:val="a7"/>
          <w:rFonts w:ascii="华文中宋" w:eastAsia="华文中宋" w:hAnsi="华文中宋" w:hint="eastAsia"/>
          <w:color w:val="auto"/>
          <w:sz w:val="22"/>
          <w:szCs w:val="18"/>
        </w:rPr>
        <w:t>的税法产品，</w:t>
      </w:r>
      <w:proofErr w:type="gramStart"/>
      <w:r w:rsidRPr="00B67FD6">
        <w:rPr>
          <w:rStyle w:val="a7"/>
          <w:rFonts w:ascii="华文中宋" w:eastAsia="华文中宋" w:hAnsi="华文中宋" w:hint="eastAsia"/>
          <w:color w:val="auto"/>
          <w:sz w:val="22"/>
          <w:szCs w:val="18"/>
        </w:rPr>
        <w:t>集法规</w:t>
      </w:r>
      <w:proofErr w:type="gramEnd"/>
      <w:r w:rsidRPr="00B67FD6">
        <w:rPr>
          <w:rStyle w:val="a7"/>
          <w:rFonts w:ascii="华文中宋" w:eastAsia="华文中宋" w:hAnsi="华文中宋" w:hint="eastAsia"/>
          <w:color w:val="auto"/>
          <w:sz w:val="22"/>
          <w:szCs w:val="18"/>
        </w:rPr>
        <w:t>政策、专业解读、税务动态、实务问答、案例评析、行政处罚、裁判文书、实用文书模板于一体的专业解决方案。</w:t>
      </w:r>
    </w:p>
    <w:p w14:paraId="10B39A4F" w14:textId="77777777" w:rsidR="00D406A3" w:rsidRPr="009F55B1" w:rsidRDefault="00D406A3" w:rsidP="00D406A3">
      <w:pPr>
        <w:widowControl/>
        <w:spacing w:line="276" w:lineRule="auto"/>
        <w:jc w:val="left"/>
        <w:rPr>
          <w:rFonts w:ascii="华文中宋" w:eastAsia="华文中宋" w:hAnsi="华文中宋" w:cs="Times New Roman"/>
          <w:b/>
          <w:bCs/>
          <w:kern w:val="0"/>
          <w:szCs w:val="28"/>
          <w:highlight w:val="lightGray"/>
        </w:rPr>
      </w:pPr>
      <w:r w:rsidRPr="009F55B1">
        <w:rPr>
          <w:rFonts w:ascii="华文中宋" w:eastAsia="华文中宋" w:hAnsi="华文中宋" w:cs="Times New Roman" w:hint="eastAsia"/>
          <w:b/>
          <w:bCs/>
          <w:kern w:val="0"/>
          <w:szCs w:val="28"/>
          <w:highlight w:val="lightGray"/>
        </w:rPr>
        <w:t>客户价值</w:t>
      </w:r>
    </w:p>
    <w:p w14:paraId="55337402" w14:textId="77777777" w:rsidR="00D406A3" w:rsidRPr="006D7DBF" w:rsidRDefault="00D406A3" w:rsidP="00D406A3">
      <w:pPr>
        <w:pStyle w:val="a3"/>
        <w:numPr>
          <w:ilvl w:val="0"/>
          <w:numId w:val="1"/>
        </w:numPr>
        <w:spacing w:line="276" w:lineRule="auto"/>
        <w:ind w:firstLineChars="0"/>
        <w:rPr>
          <w:rFonts w:ascii="华文中宋" w:eastAsia="华文中宋" w:hAnsi="华文中宋"/>
          <w:b/>
          <w:bCs/>
          <w:sz w:val="22"/>
          <w:szCs w:val="22"/>
        </w:rPr>
      </w:pPr>
      <w:r w:rsidRPr="006D7DBF">
        <w:rPr>
          <w:rFonts w:ascii="华文中宋" w:eastAsia="华文中宋" w:hAnsi="华文中宋" w:cs="宋体" w:hint="eastAsia"/>
          <w:b/>
          <w:bCs/>
          <w:sz w:val="22"/>
          <w:szCs w:val="22"/>
        </w:rPr>
        <w:t>解决实务问题：</w:t>
      </w:r>
      <w:r w:rsidRPr="006D7DBF">
        <w:rPr>
          <w:rFonts w:ascii="华文中宋" w:eastAsia="华文中宋" w:hAnsi="华文中宋" w:hint="eastAsia"/>
          <w:sz w:val="22"/>
          <w:szCs w:val="22"/>
        </w:rPr>
        <w:t>“</w:t>
      </w:r>
      <w:r w:rsidRPr="006D7DBF">
        <w:rPr>
          <w:rFonts w:ascii="华文中宋" w:eastAsia="华文中宋" w:hAnsi="华文中宋" w:cs="宋体" w:hint="eastAsia"/>
          <w:sz w:val="22"/>
          <w:szCs w:val="22"/>
        </w:rPr>
        <w:t>专家问答</w:t>
      </w:r>
      <w:r w:rsidRPr="006D7DBF">
        <w:rPr>
          <w:rFonts w:ascii="华文中宋" w:eastAsia="华文中宋" w:hAnsi="华文中宋" w:cs="Cambria"/>
          <w:sz w:val="22"/>
          <w:szCs w:val="22"/>
        </w:rPr>
        <w:t>”</w:t>
      </w:r>
      <w:r w:rsidRPr="006D7DBF">
        <w:rPr>
          <w:rFonts w:ascii="华文中宋" w:eastAsia="华文中宋" w:hAnsi="华文中宋" w:cs="宋体" w:hint="eastAsia"/>
          <w:sz w:val="22"/>
          <w:szCs w:val="22"/>
        </w:rPr>
        <w:t>力邀知名律师事务所税务合</w:t>
      </w:r>
      <w:proofErr w:type="gramStart"/>
      <w:r w:rsidRPr="006D7DBF">
        <w:rPr>
          <w:rFonts w:ascii="华文中宋" w:eastAsia="华文中宋" w:hAnsi="华文中宋" w:cs="宋体" w:hint="eastAsia"/>
          <w:sz w:val="22"/>
          <w:szCs w:val="22"/>
        </w:rPr>
        <w:t>规</w:t>
      </w:r>
      <w:proofErr w:type="gramEnd"/>
      <w:r w:rsidRPr="006D7DBF">
        <w:rPr>
          <w:rFonts w:ascii="华文中宋" w:eastAsia="华文中宋" w:hAnsi="华文中宋" w:cs="宋体" w:hint="eastAsia"/>
          <w:sz w:val="22"/>
          <w:szCs w:val="22"/>
        </w:rPr>
        <w:t>领域合伙人组成专家团队，及时为企业解答实务问题。</w:t>
      </w:r>
    </w:p>
    <w:p w14:paraId="31F64A1E" w14:textId="77777777" w:rsidR="00D406A3" w:rsidRPr="006D7DBF" w:rsidRDefault="00D406A3" w:rsidP="00D406A3">
      <w:pPr>
        <w:pStyle w:val="a3"/>
        <w:numPr>
          <w:ilvl w:val="0"/>
          <w:numId w:val="1"/>
        </w:numPr>
        <w:spacing w:line="276" w:lineRule="auto"/>
        <w:ind w:firstLineChars="0"/>
        <w:rPr>
          <w:rFonts w:ascii="华文中宋" w:eastAsia="华文中宋" w:hAnsi="华文中宋"/>
          <w:b/>
          <w:bCs/>
          <w:sz w:val="22"/>
          <w:szCs w:val="22"/>
        </w:rPr>
      </w:pPr>
      <w:r w:rsidRPr="006D7DBF">
        <w:rPr>
          <w:rFonts w:ascii="华文中宋" w:eastAsia="华文中宋" w:hAnsi="华文中宋" w:cs="宋体" w:hint="eastAsia"/>
          <w:b/>
          <w:bCs/>
          <w:sz w:val="22"/>
          <w:szCs w:val="22"/>
        </w:rPr>
        <w:t>汇聚专家智慧</w:t>
      </w:r>
      <w:r w:rsidRPr="006D7DBF">
        <w:rPr>
          <w:rFonts w:ascii="华文中宋" w:eastAsia="华文中宋" w:hAnsi="华文中宋" w:cs="宋体" w:hint="eastAsia"/>
          <w:sz w:val="22"/>
          <w:szCs w:val="22"/>
        </w:rPr>
        <w:t>：由业内具有丰富实务经验的专业人士对涉税法律话题提供多维度的深度评析，覆盖话题广泛，热点难点层层剖析。</w:t>
      </w:r>
    </w:p>
    <w:p w14:paraId="50862F1F" w14:textId="77777777" w:rsidR="00D406A3" w:rsidRPr="006D7DBF" w:rsidRDefault="00D406A3" w:rsidP="00D406A3">
      <w:pPr>
        <w:pStyle w:val="a3"/>
        <w:numPr>
          <w:ilvl w:val="0"/>
          <w:numId w:val="1"/>
        </w:numPr>
        <w:spacing w:line="276" w:lineRule="auto"/>
        <w:ind w:firstLineChars="0"/>
        <w:rPr>
          <w:rFonts w:ascii="华文中宋" w:eastAsia="华文中宋" w:hAnsi="华文中宋"/>
          <w:sz w:val="22"/>
          <w:szCs w:val="22"/>
        </w:rPr>
      </w:pPr>
      <w:r w:rsidRPr="006D7DBF">
        <w:rPr>
          <w:rFonts w:ascii="华文中宋" w:eastAsia="华文中宋" w:hAnsi="华文中宋" w:cs="宋体" w:hint="eastAsia"/>
          <w:b/>
          <w:bCs/>
          <w:sz w:val="22"/>
          <w:szCs w:val="22"/>
        </w:rPr>
        <w:t>应用智能检索</w:t>
      </w:r>
      <w:r w:rsidRPr="006D7DBF">
        <w:rPr>
          <w:rFonts w:ascii="华文中宋" w:eastAsia="华文中宋" w:hAnsi="华文中宋" w:cs="宋体" w:hint="eastAsia"/>
          <w:sz w:val="22"/>
          <w:szCs w:val="22"/>
        </w:rPr>
        <w:t>：贴合法律专业人士使用习惯，提供多种检索方式，高效准确地呈现涉税政策法规、专业解读及案例评析。</w:t>
      </w:r>
    </w:p>
    <w:p w14:paraId="67F71737" w14:textId="15BA544C" w:rsidR="00D406A3" w:rsidRPr="00D406A3" w:rsidRDefault="00D406A3" w:rsidP="00D406A3">
      <w:pPr>
        <w:pStyle w:val="a3"/>
        <w:numPr>
          <w:ilvl w:val="0"/>
          <w:numId w:val="1"/>
        </w:numPr>
        <w:spacing w:line="276" w:lineRule="auto"/>
        <w:ind w:firstLineChars="0"/>
        <w:rPr>
          <w:rFonts w:ascii="华文中宋" w:eastAsia="华文中宋" w:hAnsi="华文中宋" w:hint="eastAsia"/>
          <w:sz w:val="22"/>
          <w:szCs w:val="22"/>
        </w:rPr>
      </w:pPr>
      <w:r w:rsidRPr="006D7DBF">
        <w:rPr>
          <w:rFonts w:ascii="华文中宋" w:eastAsia="华文中宋" w:hAnsi="华文中宋" w:cs="宋体" w:hint="eastAsia"/>
          <w:b/>
          <w:bCs/>
          <w:sz w:val="22"/>
          <w:szCs w:val="22"/>
        </w:rPr>
        <w:t>关注税法动态：</w:t>
      </w:r>
      <w:r w:rsidRPr="006D7DBF">
        <w:rPr>
          <w:rFonts w:ascii="华文中宋" w:eastAsia="华文中宋" w:hAnsi="华文中宋" w:cs="宋体" w:hint="eastAsia"/>
          <w:sz w:val="22"/>
          <w:szCs w:val="22"/>
        </w:rPr>
        <w:t>每日更新全国</w:t>
      </w:r>
      <w:proofErr w:type="gramStart"/>
      <w:r w:rsidRPr="006D7DBF">
        <w:rPr>
          <w:rFonts w:ascii="华文中宋" w:eastAsia="华文中宋" w:hAnsi="华文中宋" w:cs="宋体" w:hint="eastAsia"/>
          <w:sz w:val="22"/>
          <w:szCs w:val="22"/>
        </w:rPr>
        <w:t>范围内涉税法</w:t>
      </w:r>
      <w:proofErr w:type="gramEnd"/>
      <w:r w:rsidRPr="006D7DBF">
        <w:rPr>
          <w:rFonts w:ascii="华文中宋" w:eastAsia="华文中宋" w:hAnsi="华文中宋" w:cs="宋体" w:hint="eastAsia"/>
          <w:sz w:val="22"/>
          <w:szCs w:val="22"/>
        </w:rPr>
        <w:t>律动态，助力法</w:t>
      </w:r>
      <w:proofErr w:type="gramStart"/>
      <w:r w:rsidRPr="006D7DBF">
        <w:rPr>
          <w:rFonts w:ascii="华文中宋" w:eastAsia="华文中宋" w:hAnsi="华文中宋" w:cs="宋体" w:hint="eastAsia"/>
          <w:sz w:val="22"/>
          <w:szCs w:val="22"/>
        </w:rPr>
        <w:t>务</w:t>
      </w:r>
      <w:proofErr w:type="gramEnd"/>
      <w:r w:rsidRPr="006D7DBF">
        <w:rPr>
          <w:rFonts w:ascii="华文中宋" w:eastAsia="华文中宋" w:hAnsi="华文中宋" w:cs="宋体" w:hint="eastAsia"/>
          <w:sz w:val="22"/>
          <w:szCs w:val="22"/>
        </w:rPr>
        <w:t>人员及时掌握与企业息息相关的税法政策及监管信息。</w:t>
      </w:r>
    </w:p>
    <w:p w14:paraId="0D4279DE" w14:textId="77777777" w:rsidR="00D406A3" w:rsidRPr="009F55B1" w:rsidRDefault="00D406A3" w:rsidP="00D406A3">
      <w:pPr>
        <w:widowControl/>
        <w:spacing w:line="276" w:lineRule="auto"/>
        <w:jc w:val="left"/>
        <w:rPr>
          <w:rFonts w:ascii="华文中宋" w:eastAsia="华文中宋" w:hAnsi="华文中宋" w:cs="Times New Roman"/>
          <w:b/>
          <w:bCs/>
          <w:kern w:val="0"/>
          <w:szCs w:val="28"/>
          <w:highlight w:val="lightGray"/>
        </w:rPr>
      </w:pPr>
      <w:r>
        <w:rPr>
          <w:rFonts w:ascii="华文中宋" w:eastAsia="华文中宋" w:hAnsi="华文中宋" w:cs="Times New Roman" w:hint="eastAsia"/>
          <w:b/>
          <w:bCs/>
          <w:kern w:val="0"/>
          <w:szCs w:val="28"/>
          <w:highlight w:val="lightGray"/>
        </w:rPr>
        <w:t>核心内容</w:t>
      </w:r>
    </w:p>
    <w:p w14:paraId="4A49E7CE" w14:textId="77777777" w:rsidR="00D406A3" w:rsidRPr="00AC42B3" w:rsidRDefault="00D406A3" w:rsidP="00D406A3">
      <w:pPr>
        <w:spacing w:line="276" w:lineRule="auto"/>
        <w:rPr>
          <w:rFonts w:ascii="华文中宋" w:eastAsia="华文中宋" w:hAnsi="华文中宋"/>
          <w:b/>
          <w:bCs/>
          <w:sz w:val="22"/>
          <w:szCs w:val="22"/>
        </w:rPr>
      </w:pPr>
      <w:r w:rsidRPr="00AC42B3">
        <w:rPr>
          <w:rFonts w:ascii="华文中宋" w:eastAsia="华文中宋" w:hAnsi="华文中宋" w:cs="宋体" w:hint="eastAsia"/>
          <w:b/>
          <w:bCs/>
          <w:color w:val="92D050"/>
          <w:sz w:val="22"/>
          <w:szCs w:val="22"/>
        </w:rPr>
        <w:t>法律法规：</w:t>
      </w:r>
      <w:r w:rsidRPr="006D7DBF">
        <w:rPr>
          <w:rFonts w:ascii="华文中宋" w:eastAsia="华文中宋" w:hAnsi="华文中宋" w:cs="宋体" w:hint="eastAsia"/>
          <w:sz w:val="22"/>
          <w:szCs w:val="22"/>
        </w:rPr>
        <w:t>全面的税务法律法规，精准的时效性标识，发文机关、地域、效力级别、主题分类、行业分类，多种检索方式，助力企业法</w:t>
      </w:r>
      <w:proofErr w:type="gramStart"/>
      <w:r w:rsidRPr="006D7DBF">
        <w:rPr>
          <w:rFonts w:ascii="华文中宋" w:eastAsia="华文中宋" w:hAnsi="华文中宋" w:cs="宋体" w:hint="eastAsia"/>
          <w:sz w:val="22"/>
          <w:szCs w:val="22"/>
        </w:rPr>
        <w:t>务</w:t>
      </w:r>
      <w:proofErr w:type="gramEnd"/>
      <w:r w:rsidRPr="006D7DBF">
        <w:rPr>
          <w:rFonts w:ascii="华文中宋" w:eastAsia="华文中宋" w:hAnsi="华文中宋" w:cs="宋体" w:hint="eastAsia"/>
          <w:sz w:val="22"/>
          <w:szCs w:val="22"/>
        </w:rPr>
        <w:t>解决税务法规发布纷杂、更迭频繁的困扰</w:t>
      </w:r>
    </w:p>
    <w:p w14:paraId="104E9F7B" w14:textId="77777777" w:rsidR="00D406A3" w:rsidRPr="00AC42B3" w:rsidRDefault="00D406A3" w:rsidP="00D406A3">
      <w:pPr>
        <w:spacing w:line="276" w:lineRule="auto"/>
        <w:rPr>
          <w:rFonts w:ascii="华文中宋" w:eastAsia="华文中宋" w:hAnsi="华文中宋"/>
          <w:b/>
          <w:bCs/>
          <w:sz w:val="22"/>
          <w:szCs w:val="22"/>
        </w:rPr>
      </w:pPr>
      <w:r w:rsidRPr="00AC42B3">
        <w:rPr>
          <w:rFonts w:ascii="华文中宋" w:eastAsia="华文中宋" w:hAnsi="华文中宋" w:cs="宋体" w:hint="eastAsia"/>
          <w:b/>
          <w:bCs/>
          <w:color w:val="92D050"/>
          <w:sz w:val="22"/>
          <w:szCs w:val="22"/>
        </w:rPr>
        <w:lastRenderedPageBreak/>
        <w:t>专业解读：</w:t>
      </w:r>
      <w:r w:rsidRPr="006D7DBF">
        <w:rPr>
          <w:rFonts w:ascii="华文中宋" w:eastAsia="华文中宋" w:hAnsi="华文中宋" w:cs="宋体" w:hint="eastAsia"/>
          <w:sz w:val="22"/>
          <w:szCs w:val="22"/>
        </w:rPr>
        <w:t>针对税务政策法规，提供专业分析解读，助力企业应对税务实务问题，防控涉税法律风险</w:t>
      </w:r>
      <w:r>
        <w:rPr>
          <w:rFonts w:ascii="华文中宋" w:eastAsia="华文中宋" w:hAnsi="华文中宋" w:cs="宋体" w:hint="eastAsia"/>
          <w:sz w:val="22"/>
          <w:szCs w:val="22"/>
        </w:rPr>
        <w:t>：</w:t>
      </w:r>
    </w:p>
    <w:p w14:paraId="3348FCC3" w14:textId="77777777" w:rsidR="00D406A3" w:rsidRPr="001A13A6" w:rsidRDefault="00D406A3" w:rsidP="00D406A3">
      <w:pPr>
        <w:pStyle w:val="a3"/>
        <w:numPr>
          <w:ilvl w:val="0"/>
          <w:numId w:val="2"/>
        </w:numPr>
        <w:spacing w:line="276" w:lineRule="auto"/>
        <w:ind w:firstLineChars="0"/>
        <w:rPr>
          <w:rFonts w:ascii="华文中宋" w:eastAsia="华文中宋" w:hAnsi="华文中宋" w:cs="Times New Roman"/>
          <w:color w:val="000000"/>
          <w:kern w:val="0"/>
          <w:sz w:val="22"/>
          <w:szCs w:val="20"/>
        </w:rPr>
      </w:pPr>
      <w:r w:rsidRPr="001A13A6">
        <w:rPr>
          <w:rFonts w:ascii="华文中宋" w:eastAsia="华文中宋" w:hAnsi="华文中宋" w:cs="宋体" w:hint="eastAsia"/>
          <w:b/>
          <w:bCs/>
          <w:color w:val="000000"/>
          <w:kern w:val="0"/>
          <w:sz w:val="22"/>
          <w:szCs w:val="20"/>
        </w:rPr>
        <w:t>专业文章：</w:t>
      </w:r>
      <w:r w:rsidRPr="001A13A6">
        <w:rPr>
          <w:rFonts w:ascii="华文中宋" w:eastAsia="华文中宋" w:hAnsi="华文中宋" w:cs="宋体" w:hint="eastAsia"/>
          <w:color w:val="000000"/>
          <w:kern w:val="0"/>
          <w:sz w:val="22"/>
          <w:szCs w:val="20"/>
        </w:rPr>
        <w:t>与几十家专业机构合作，对政策法规和热点问题进行及时、专业的解读。</w:t>
      </w:r>
    </w:p>
    <w:p w14:paraId="12159ED5" w14:textId="77777777" w:rsidR="00D406A3" w:rsidRPr="006D7DBF" w:rsidRDefault="00D406A3" w:rsidP="00D406A3">
      <w:pPr>
        <w:pStyle w:val="a3"/>
        <w:numPr>
          <w:ilvl w:val="0"/>
          <w:numId w:val="2"/>
        </w:numPr>
        <w:spacing w:line="276" w:lineRule="auto"/>
        <w:ind w:firstLineChars="0"/>
        <w:rPr>
          <w:rFonts w:ascii="华文中宋" w:eastAsia="华文中宋" w:hAnsi="华文中宋" w:cs="Times New Roman"/>
          <w:color w:val="000000"/>
          <w:kern w:val="0"/>
          <w:sz w:val="22"/>
          <w:szCs w:val="20"/>
        </w:rPr>
      </w:pPr>
      <w:r w:rsidRPr="00AC42B3">
        <w:rPr>
          <w:rFonts w:ascii="华文中宋" w:eastAsia="华文中宋" w:hAnsi="华文中宋" w:cs="宋体" w:hint="eastAsia"/>
          <w:b/>
          <w:bCs/>
          <w:color w:val="000000"/>
          <w:kern w:val="0"/>
          <w:sz w:val="22"/>
          <w:szCs w:val="20"/>
        </w:rPr>
        <w:t>专题聚焦：</w:t>
      </w:r>
      <w:r w:rsidRPr="00AC42B3">
        <w:rPr>
          <w:rFonts w:ascii="华文中宋" w:eastAsia="华文中宋" w:hAnsi="华文中宋" w:cs="宋体" w:hint="eastAsia"/>
          <w:color w:val="000000"/>
          <w:kern w:val="0"/>
          <w:sz w:val="22"/>
          <w:szCs w:val="20"/>
        </w:rPr>
        <w:t>针对具体的实务话题，提供体系化、全方位的梳理，对涉税热点与难点话题进行深度解读及分析。</w:t>
      </w:r>
      <w:r w:rsidRPr="006D7DBF">
        <w:rPr>
          <w:rFonts w:ascii="华文中宋" w:eastAsia="华文中宋" w:hAnsi="华文中宋" w:cs="宋体" w:hint="eastAsia"/>
          <w:color w:val="000000"/>
          <w:kern w:val="0"/>
          <w:sz w:val="22"/>
          <w:szCs w:val="20"/>
        </w:rPr>
        <w:t>包括但不限于：</w:t>
      </w:r>
    </w:p>
    <w:p w14:paraId="627B0A9F" w14:textId="77777777" w:rsidR="00D406A3" w:rsidRPr="00AC42B3" w:rsidRDefault="00D406A3" w:rsidP="00D406A3">
      <w:pPr>
        <w:spacing w:line="276" w:lineRule="auto"/>
        <w:ind w:firstLineChars="200" w:firstLine="440"/>
        <w:jc w:val="left"/>
        <w:rPr>
          <w:rFonts w:ascii="华文中宋" w:eastAsia="华文中宋" w:hAnsi="华文中宋" w:cs="Times New Roman"/>
          <w:sz w:val="22"/>
          <w:szCs w:val="22"/>
          <w:shd w:val="clear" w:color="auto" w:fill="FFFFFF"/>
        </w:rPr>
      </w:pPr>
      <w:r w:rsidRPr="00C05C50">
        <w:rPr>
          <w:rFonts w:ascii="华文中宋" w:eastAsia="华文中宋" w:hAnsi="华文中宋" w:cs="Times New Roman" w:hint="eastAsia"/>
          <w:sz w:val="22"/>
          <w:szCs w:val="22"/>
          <w:shd w:val="clear" w:color="auto" w:fill="FFFFFF"/>
        </w:rPr>
        <w:t>－</w:t>
      </w:r>
      <w:r w:rsidRPr="00AC42B3">
        <w:rPr>
          <w:rFonts w:ascii="华文中宋" w:eastAsia="华文中宋" w:hAnsi="华文中宋" w:cs="Times New Roman" w:hint="eastAsia"/>
          <w:sz w:val="22"/>
          <w:szCs w:val="22"/>
          <w:shd w:val="clear" w:color="auto" w:fill="FFFFFF"/>
        </w:rPr>
        <w:t>全方位解析税务争议</w:t>
      </w:r>
    </w:p>
    <w:p w14:paraId="25536D46" w14:textId="77777777" w:rsidR="00D406A3" w:rsidRPr="00AC42B3" w:rsidRDefault="00D406A3" w:rsidP="00D406A3">
      <w:pPr>
        <w:spacing w:line="276" w:lineRule="auto"/>
        <w:ind w:firstLineChars="200" w:firstLine="440"/>
        <w:jc w:val="left"/>
        <w:rPr>
          <w:rFonts w:ascii="华文中宋" w:eastAsia="华文中宋" w:hAnsi="华文中宋" w:cs="Times New Roman"/>
          <w:sz w:val="22"/>
          <w:szCs w:val="22"/>
          <w:shd w:val="clear" w:color="auto" w:fill="FFFFFF"/>
        </w:rPr>
      </w:pPr>
      <w:r w:rsidRPr="00C05C50">
        <w:rPr>
          <w:rFonts w:ascii="华文中宋" w:eastAsia="华文中宋" w:hAnsi="华文中宋" w:cs="Times New Roman" w:hint="eastAsia"/>
          <w:sz w:val="22"/>
          <w:szCs w:val="22"/>
          <w:shd w:val="clear" w:color="auto" w:fill="FFFFFF"/>
        </w:rPr>
        <w:t>－</w:t>
      </w:r>
      <w:r w:rsidRPr="00AC42B3">
        <w:rPr>
          <w:rFonts w:ascii="华文中宋" w:eastAsia="华文中宋" w:hAnsi="华文中宋" w:cs="Times New Roman" w:hint="eastAsia"/>
          <w:sz w:val="22"/>
          <w:szCs w:val="22"/>
          <w:shd w:val="clear" w:color="auto" w:fill="FFFFFF"/>
        </w:rPr>
        <w:t>税务行政诉讼中税务机关败诉之程序原因分析</w:t>
      </w:r>
    </w:p>
    <w:p w14:paraId="0C93E568" w14:textId="77777777" w:rsidR="00D406A3" w:rsidRPr="00AC42B3" w:rsidRDefault="00D406A3" w:rsidP="00D406A3">
      <w:pPr>
        <w:spacing w:line="276" w:lineRule="auto"/>
        <w:ind w:firstLineChars="200" w:firstLine="440"/>
        <w:jc w:val="left"/>
        <w:rPr>
          <w:rFonts w:ascii="华文中宋" w:eastAsia="华文中宋" w:hAnsi="华文中宋" w:cs="Times New Roman"/>
          <w:sz w:val="22"/>
          <w:szCs w:val="22"/>
          <w:shd w:val="clear" w:color="auto" w:fill="FFFFFF"/>
        </w:rPr>
      </w:pPr>
      <w:r w:rsidRPr="00C05C50">
        <w:rPr>
          <w:rFonts w:ascii="华文中宋" w:eastAsia="华文中宋" w:hAnsi="华文中宋" w:cs="Times New Roman" w:hint="eastAsia"/>
          <w:sz w:val="22"/>
          <w:szCs w:val="22"/>
          <w:shd w:val="clear" w:color="auto" w:fill="FFFFFF"/>
        </w:rPr>
        <w:t>－</w:t>
      </w:r>
      <w:r w:rsidRPr="00AC42B3">
        <w:rPr>
          <w:rFonts w:ascii="华文中宋" w:eastAsia="华文中宋" w:hAnsi="华文中宋" w:cs="Times New Roman" w:hint="eastAsia"/>
          <w:sz w:val="22"/>
          <w:szCs w:val="22"/>
          <w:shd w:val="clear" w:color="auto" w:fill="FFFFFF"/>
        </w:rPr>
        <w:t>外籍员工在华纳税及法律问题详解</w:t>
      </w:r>
    </w:p>
    <w:p w14:paraId="20D48B7E" w14:textId="77777777" w:rsidR="00D406A3" w:rsidRPr="00AC42B3" w:rsidRDefault="00D406A3" w:rsidP="00D406A3">
      <w:pPr>
        <w:spacing w:line="276" w:lineRule="auto"/>
        <w:ind w:firstLineChars="200" w:firstLine="440"/>
        <w:jc w:val="left"/>
        <w:rPr>
          <w:rFonts w:ascii="华文中宋" w:eastAsia="华文中宋" w:hAnsi="华文中宋" w:cs="Times New Roman"/>
          <w:sz w:val="22"/>
          <w:szCs w:val="22"/>
          <w:shd w:val="clear" w:color="auto" w:fill="FFFFFF"/>
        </w:rPr>
      </w:pPr>
      <w:r w:rsidRPr="00C05C50">
        <w:rPr>
          <w:rFonts w:ascii="华文中宋" w:eastAsia="华文中宋" w:hAnsi="华文中宋" w:cs="Times New Roman" w:hint="eastAsia"/>
          <w:sz w:val="22"/>
          <w:szCs w:val="22"/>
          <w:shd w:val="clear" w:color="auto" w:fill="FFFFFF"/>
        </w:rPr>
        <w:t>－</w:t>
      </w:r>
      <w:r w:rsidRPr="00AC42B3">
        <w:rPr>
          <w:rFonts w:ascii="华文中宋" w:eastAsia="华文中宋" w:hAnsi="华文中宋" w:cs="Times New Roman" w:hint="eastAsia"/>
          <w:sz w:val="22"/>
          <w:szCs w:val="22"/>
          <w:shd w:val="clear" w:color="auto" w:fill="FFFFFF"/>
        </w:rPr>
        <w:t>中国税务行政诉讼大数据报告</w:t>
      </w:r>
    </w:p>
    <w:p w14:paraId="14F829E8" w14:textId="77777777" w:rsidR="00D406A3" w:rsidRPr="00AC42B3" w:rsidRDefault="00D406A3" w:rsidP="00D406A3">
      <w:pPr>
        <w:spacing w:line="276" w:lineRule="auto"/>
        <w:ind w:firstLineChars="200" w:firstLine="440"/>
        <w:jc w:val="left"/>
        <w:rPr>
          <w:rFonts w:ascii="华文中宋" w:eastAsia="华文中宋" w:hAnsi="华文中宋" w:cs="Times New Roman"/>
          <w:sz w:val="22"/>
          <w:szCs w:val="22"/>
          <w:shd w:val="clear" w:color="auto" w:fill="FFFFFF"/>
        </w:rPr>
      </w:pPr>
      <w:r w:rsidRPr="00C05C50">
        <w:rPr>
          <w:rFonts w:ascii="华文中宋" w:eastAsia="华文中宋" w:hAnsi="华文中宋" w:cs="Times New Roman" w:hint="eastAsia"/>
          <w:sz w:val="22"/>
          <w:szCs w:val="22"/>
          <w:shd w:val="clear" w:color="auto" w:fill="FFFFFF"/>
        </w:rPr>
        <w:t>－</w:t>
      </w:r>
      <w:r w:rsidRPr="00AC42B3">
        <w:rPr>
          <w:rFonts w:ascii="华文中宋" w:eastAsia="华文中宋" w:hAnsi="华文中宋" w:cs="Times New Roman" w:hint="eastAsia"/>
          <w:sz w:val="22"/>
          <w:szCs w:val="22"/>
          <w:shd w:val="clear" w:color="auto" w:fill="FFFFFF"/>
        </w:rPr>
        <w:t>个人所得税法修订改革全方位评析</w:t>
      </w:r>
    </w:p>
    <w:p w14:paraId="0F6C678D" w14:textId="77777777" w:rsidR="00D406A3" w:rsidRPr="00AC42B3" w:rsidRDefault="00D406A3" w:rsidP="00D406A3">
      <w:pPr>
        <w:spacing w:line="276" w:lineRule="auto"/>
        <w:ind w:firstLineChars="200" w:firstLine="440"/>
        <w:jc w:val="left"/>
        <w:rPr>
          <w:rFonts w:ascii="华文中宋" w:eastAsia="华文中宋" w:hAnsi="华文中宋" w:cs="Times New Roman"/>
          <w:sz w:val="22"/>
          <w:szCs w:val="22"/>
          <w:shd w:val="clear" w:color="auto" w:fill="FFFFFF"/>
        </w:rPr>
      </w:pPr>
      <w:r w:rsidRPr="00C05C50">
        <w:rPr>
          <w:rFonts w:ascii="华文中宋" w:eastAsia="华文中宋" w:hAnsi="华文中宋" w:cs="Times New Roman" w:hint="eastAsia"/>
          <w:sz w:val="22"/>
          <w:szCs w:val="22"/>
          <w:shd w:val="clear" w:color="auto" w:fill="FFFFFF"/>
        </w:rPr>
        <w:t>－</w:t>
      </w:r>
      <w:r w:rsidRPr="00AC42B3">
        <w:rPr>
          <w:rFonts w:ascii="华文中宋" w:eastAsia="华文中宋" w:hAnsi="华文中宋" w:cs="Times New Roman" w:hint="eastAsia"/>
          <w:sz w:val="22"/>
          <w:szCs w:val="22"/>
          <w:shd w:val="clear" w:color="auto" w:fill="FFFFFF"/>
        </w:rPr>
        <w:t>对赌效力相关诉讼、监管、财税问题</w:t>
      </w:r>
    </w:p>
    <w:p w14:paraId="4CCD3D86" w14:textId="77777777" w:rsidR="00D406A3" w:rsidRPr="001A13A6" w:rsidRDefault="00D406A3" w:rsidP="00D406A3">
      <w:pPr>
        <w:spacing w:line="276" w:lineRule="auto"/>
        <w:ind w:firstLineChars="200" w:firstLine="440"/>
        <w:jc w:val="left"/>
        <w:rPr>
          <w:rFonts w:ascii="华文中宋" w:eastAsia="华文中宋" w:hAnsi="华文中宋" w:cs="Times New Roman"/>
          <w:sz w:val="22"/>
          <w:szCs w:val="22"/>
          <w:shd w:val="clear" w:color="auto" w:fill="FFFFFF"/>
        </w:rPr>
      </w:pPr>
      <w:r w:rsidRPr="00C05C50">
        <w:rPr>
          <w:rFonts w:ascii="华文中宋" w:eastAsia="华文中宋" w:hAnsi="华文中宋" w:cs="Times New Roman" w:hint="eastAsia"/>
          <w:sz w:val="22"/>
          <w:szCs w:val="22"/>
          <w:shd w:val="clear" w:color="auto" w:fill="FFFFFF"/>
        </w:rPr>
        <w:t>－</w:t>
      </w:r>
      <w:r w:rsidRPr="00AC42B3">
        <w:rPr>
          <w:rFonts w:ascii="华文中宋" w:eastAsia="华文中宋" w:hAnsi="华文中宋" w:cs="Times New Roman" w:hint="eastAsia"/>
          <w:sz w:val="22"/>
          <w:szCs w:val="22"/>
          <w:shd w:val="clear" w:color="auto" w:fill="FFFFFF"/>
        </w:rPr>
        <w:t>并购交易合同起草要点</w:t>
      </w:r>
    </w:p>
    <w:p w14:paraId="78BE2B72" w14:textId="77777777" w:rsidR="00D406A3" w:rsidRPr="00AC42B3" w:rsidRDefault="00D406A3" w:rsidP="00D406A3">
      <w:pPr>
        <w:spacing w:line="276" w:lineRule="auto"/>
        <w:rPr>
          <w:rFonts w:ascii="华文中宋" w:eastAsia="华文中宋" w:hAnsi="华文中宋"/>
          <w:b/>
          <w:bCs/>
          <w:sz w:val="22"/>
          <w:szCs w:val="22"/>
        </w:rPr>
      </w:pPr>
      <w:r w:rsidRPr="00AC42B3">
        <w:rPr>
          <w:rFonts w:ascii="华文中宋" w:eastAsia="华文中宋" w:hAnsi="华文中宋" w:cs="宋体" w:hint="eastAsia"/>
          <w:b/>
          <w:bCs/>
          <w:color w:val="92D050"/>
          <w:sz w:val="22"/>
          <w:szCs w:val="22"/>
        </w:rPr>
        <w:t>实务指南：</w:t>
      </w:r>
      <w:r w:rsidRPr="006D7DBF">
        <w:rPr>
          <w:rFonts w:ascii="华文中宋" w:eastAsia="华文中宋" w:hAnsi="华文中宋" w:cs="宋体" w:hint="eastAsia"/>
          <w:sz w:val="22"/>
          <w:szCs w:val="22"/>
        </w:rPr>
        <w:t>将法律人所需的税法知识以体系化的方式进行呈现，通俗易懂、专业实用、便于阅读</w:t>
      </w:r>
      <w:r>
        <w:rPr>
          <w:rFonts w:ascii="华文中宋" w:eastAsia="华文中宋" w:hAnsi="华文中宋" w:hint="eastAsia"/>
          <w:b/>
          <w:bCs/>
          <w:sz w:val="22"/>
          <w:szCs w:val="22"/>
        </w:rPr>
        <w:t>。</w:t>
      </w:r>
      <w:r w:rsidRPr="006D7DBF">
        <w:rPr>
          <w:rFonts w:ascii="华文中宋" w:eastAsia="华文中宋" w:hAnsi="华文中宋" w:cs="宋体" w:hint="eastAsia"/>
          <w:color w:val="000000"/>
          <w:kern w:val="0"/>
          <w:sz w:val="22"/>
          <w:szCs w:val="20"/>
        </w:rPr>
        <w:t>包括但不限于：</w:t>
      </w:r>
    </w:p>
    <w:p w14:paraId="3295B897" w14:textId="77777777" w:rsidR="00D406A3" w:rsidRPr="00AC42B3" w:rsidRDefault="00D406A3" w:rsidP="00D406A3">
      <w:pPr>
        <w:spacing w:line="276" w:lineRule="auto"/>
        <w:ind w:firstLineChars="200" w:firstLine="440"/>
        <w:jc w:val="left"/>
        <w:rPr>
          <w:rFonts w:ascii="华文中宋" w:eastAsia="华文中宋" w:hAnsi="华文中宋" w:cs="Times New Roman"/>
          <w:sz w:val="22"/>
          <w:szCs w:val="22"/>
          <w:shd w:val="clear" w:color="auto" w:fill="FFFFFF"/>
        </w:rPr>
      </w:pPr>
      <w:r w:rsidRPr="00C05C50">
        <w:rPr>
          <w:rFonts w:ascii="华文中宋" w:eastAsia="华文中宋" w:hAnsi="华文中宋" w:cs="Times New Roman" w:hint="eastAsia"/>
          <w:sz w:val="22"/>
          <w:szCs w:val="22"/>
          <w:shd w:val="clear" w:color="auto" w:fill="FFFFFF"/>
        </w:rPr>
        <w:t>－</w:t>
      </w:r>
      <w:r w:rsidRPr="00AC42B3">
        <w:rPr>
          <w:rFonts w:ascii="华文中宋" w:eastAsia="华文中宋" w:hAnsi="华文中宋" w:cs="Times New Roman" w:hint="eastAsia"/>
          <w:sz w:val="22"/>
          <w:szCs w:val="22"/>
          <w:shd w:val="clear" w:color="auto" w:fill="FFFFFF"/>
        </w:rPr>
        <w:t>《威科合规系列报告之税务篇：红利、风口抑或风暴？</w:t>
      </w:r>
      <w:r w:rsidRPr="00AC42B3">
        <w:rPr>
          <w:rFonts w:ascii="华文中宋" w:eastAsia="华文中宋" w:hAnsi="华文中宋" w:cs="Times New Roman"/>
          <w:sz w:val="22"/>
          <w:szCs w:val="22"/>
          <w:shd w:val="clear" w:color="auto" w:fill="FFFFFF"/>
        </w:rPr>
        <w:t>——</w:t>
      </w:r>
      <w:r w:rsidRPr="00AC42B3">
        <w:rPr>
          <w:rFonts w:ascii="华文中宋" w:eastAsia="华文中宋" w:hAnsi="华文中宋" w:cs="Times New Roman" w:hint="eastAsia"/>
          <w:sz w:val="22"/>
          <w:szCs w:val="22"/>
          <w:shd w:val="clear" w:color="auto" w:fill="FFFFFF"/>
        </w:rPr>
        <w:t>税务新时代下的企业合规应对指引》</w:t>
      </w:r>
    </w:p>
    <w:p w14:paraId="34D73C38" w14:textId="77777777" w:rsidR="00D406A3" w:rsidRPr="00AC42B3" w:rsidRDefault="00D406A3" w:rsidP="00D406A3">
      <w:pPr>
        <w:spacing w:line="276" w:lineRule="auto"/>
        <w:ind w:firstLineChars="200" w:firstLine="440"/>
        <w:jc w:val="left"/>
        <w:rPr>
          <w:rFonts w:ascii="华文中宋" w:eastAsia="华文中宋" w:hAnsi="华文中宋" w:cs="Times New Roman"/>
          <w:sz w:val="22"/>
          <w:szCs w:val="22"/>
          <w:shd w:val="clear" w:color="auto" w:fill="FFFFFF"/>
        </w:rPr>
      </w:pPr>
      <w:r w:rsidRPr="00C05C50">
        <w:rPr>
          <w:rFonts w:ascii="华文中宋" w:eastAsia="华文中宋" w:hAnsi="华文中宋" w:cs="Times New Roman" w:hint="eastAsia"/>
          <w:sz w:val="22"/>
          <w:szCs w:val="22"/>
          <w:shd w:val="clear" w:color="auto" w:fill="FFFFFF"/>
        </w:rPr>
        <w:t>－</w:t>
      </w:r>
      <w:r w:rsidRPr="00AC42B3">
        <w:rPr>
          <w:rFonts w:ascii="华文中宋" w:eastAsia="华文中宋" w:hAnsi="华文中宋" w:cs="Times New Roman" w:hint="eastAsia"/>
          <w:sz w:val="22"/>
          <w:szCs w:val="22"/>
          <w:shd w:val="clear" w:color="auto" w:fill="FFFFFF"/>
        </w:rPr>
        <w:t>《中国税务概览2</w:t>
      </w:r>
      <w:r w:rsidRPr="00AC42B3">
        <w:rPr>
          <w:rFonts w:ascii="华文中宋" w:eastAsia="华文中宋" w:hAnsi="华文中宋" w:cs="Times New Roman"/>
          <w:sz w:val="22"/>
          <w:szCs w:val="22"/>
          <w:shd w:val="clear" w:color="auto" w:fill="FFFFFF"/>
        </w:rPr>
        <w:t>019</w:t>
      </w:r>
      <w:r w:rsidRPr="00AC42B3">
        <w:rPr>
          <w:rFonts w:ascii="华文中宋" w:eastAsia="华文中宋" w:hAnsi="华文中宋" w:cs="Times New Roman" w:hint="eastAsia"/>
          <w:sz w:val="22"/>
          <w:szCs w:val="22"/>
          <w:shd w:val="clear" w:color="auto" w:fill="FFFFFF"/>
        </w:rPr>
        <w:t>》</w:t>
      </w:r>
    </w:p>
    <w:p w14:paraId="402DEF22" w14:textId="77777777" w:rsidR="00D406A3" w:rsidRPr="00AC42B3" w:rsidRDefault="00D406A3" w:rsidP="00D406A3">
      <w:pPr>
        <w:spacing w:line="276" w:lineRule="auto"/>
        <w:ind w:firstLineChars="200" w:firstLine="440"/>
        <w:jc w:val="left"/>
        <w:rPr>
          <w:rFonts w:ascii="华文中宋" w:eastAsia="华文中宋" w:hAnsi="华文中宋" w:cs="Times New Roman"/>
          <w:sz w:val="22"/>
          <w:szCs w:val="22"/>
          <w:shd w:val="clear" w:color="auto" w:fill="FFFFFF"/>
        </w:rPr>
      </w:pPr>
      <w:r w:rsidRPr="00C05C50">
        <w:rPr>
          <w:rFonts w:ascii="华文中宋" w:eastAsia="华文中宋" w:hAnsi="华文中宋" w:cs="Times New Roman" w:hint="eastAsia"/>
          <w:sz w:val="22"/>
          <w:szCs w:val="22"/>
          <w:shd w:val="clear" w:color="auto" w:fill="FFFFFF"/>
        </w:rPr>
        <w:t>－</w:t>
      </w:r>
      <w:r w:rsidRPr="00AC42B3">
        <w:rPr>
          <w:rFonts w:ascii="华文中宋" w:eastAsia="华文中宋" w:hAnsi="华文中宋" w:cs="Times New Roman" w:hint="eastAsia"/>
          <w:sz w:val="22"/>
          <w:szCs w:val="22"/>
          <w:shd w:val="clear" w:color="auto" w:fill="FFFFFF"/>
        </w:rPr>
        <w:t>《中国税务筹划指南》</w:t>
      </w:r>
    </w:p>
    <w:p w14:paraId="3D3BCD6F" w14:textId="77777777" w:rsidR="00D406A3" w:rsidRPr="001A13A6" w:rsidRDefault="00D406A3" w:rsidP="00D406A3">
      <w:pPr>
        <w:spacing w:line="276" w:lineRule="auto"/>
        <w:ind w:firstLineChars="200" w:firstLine="440"/>
        <w:jc w:val="left"/>
        <w:rPr>
          <w:rFonts w:ascii="华文中宋" w:eastAsia="华文中宋" w:hAnsi="华文中宋" w:cs="Times New Roman"/>
          <w:sz w:val="22"/>
          <w:szCs w:val="22"/>
          <w:shd w:val="clear" w:color="auto" w:fill="FFFFFF"/>
        </w:rPr>
      </w:pPr>
      <w:r w:rsidRPr="00C05C50">
        <w:rPr>
          <w:rFonts w:ascii="华文中宋" w:eastAsia="华文中宋" w:hAnsi="华文中宋" w:cs="Times New Roman" w:hint="eastAsia"/>
          <w:sz w:val="22"/>
          <w:szCs w:val="22"/>
          <w:shd w:val="clear" w:color="auto" w:fill="FFFFFF"/>
        </w:rPr>
        <w:t>－</w:t>
      </w:r>
      <w:r w:rsidRPr="00AC42B3">
        <w:rPr>
          <w:rFonts w:ascii="华文中宋" w:eastAsia="华文中宋" w:hAnsi="华文中宋" w:cs="Times New Roman" w:hint="eastAsia"/>
          <w:sz w:val="22"/>
          <w:szCs w:val="22"/>
          <w:shd w:val="clear" w:color="auto" w:fill="FFFFFF"/>
        </w:rPr>
        <w:t>《中国税务合规实务指南</w:t>
      </w:r>
      <w:r w:rsidRPr="00AC42B3">
        <w:rPr>
          <w:rFonts w:ascii="华文中宋" w:eastAsia="华文中宋" w:hAnsi="华文中宋" w:cs="Times New Roman"/>
          <w:sz w:val="22"/>
          <w:szCs w:val="22"/>
          <w:shd w:val="clear" w:color="auto" w:fill="FFFFFF"/>
        </w:rPr>
        <w:t>:</w:t>
      </w:r>
      <w:r w:rsidRPr="00AC42B3">
        <w:rPr>
          <w:rFonts w:ascii="华文中宋" w:eastAsia="华文中宋" w:hAnsi="华文中宋" w:cs="Times New Roman" w:hint="eastAsia"/>
          <w:sz w:val="22"/>
          <w:szCs w:val="22"/>
          <w:shd w:val="clear" w:color="auto" w:fill="FFFFFF"/>
        </w:rPr>
        <w:t>税务复核》</w:t>
      </w:r>
    </w:p>
    <w:p w14:paraId="3A44EC3F" w14:textId="77777777" w:rsidR="00D406A3" w:rsidRPr="001A13A6" w:rsidRDefault="00D406A3" w:rsidP="00D406A3">
      <w:pPr>
        <w:spacing w:line="276" w:lineRule="auto"/>
        <w:rPr>
          <w:rFonts w:ascii="华文中宋" w:eastAsia="华文中宋" w:hAnsi="华文中宋" w:cs="Times New Roman"/>
          <w:b/>
          <w:bCs/>
          <w:color w:val="000000"/>
          <w:kern w:val="0"/>
          <w:sz w:val="22"/>
          <w:szCs w:val="20"/>
        </w:rPr>
      </w:pPr>
      <w:r w:rsidRPr="00AC42B3">
        <w:rPr>
          <w:rFonts w:ascii="华文中宋" w:eastAsia="华文中宋" w:hAnsi="华文中宋" w:cs="宋体" w:hint="eastAsia"/>
          <w:b/>
          <w:bCs/>
          <w:color w:val="92D050"/>
          <w:sz w:val="22"/>
          <w:szCs w:val="22"/>
        </w:rPr>
        <w:t>实务案例：</w:t>
      </w:r>
      <w:r w:rsidRPr="006D7DBF">
        <w:rPr>
          <w:rFonts w:ascii="华文中宋" w:eastAsia="华文中宋" w:hAnsi="华文中宋" w:cs="宋体" w:hint="eastAsia"/>
          <w:color w:val="000000"/>
          <w:kern w:val="0"/>
          <w:sz w:val="22"/>
          <w:szCs w:val="20"/>
        </w:rPr>
        <w:t>提炼税企争议中常见的实务案例，并辅以专家的解读与建议，为税企争议解决提供可落地的操作指引</w:t>
      </w:r>
    </w:p>
    <w:p w14:paraId="01280D53" w14:textId="77777777" w:rsidR="00D406A3" w:rsidRPr="001A13A6" w:rsidRDefault="00D406A3" w:rsidP="00D406A3">
      <w:pPr>
        <w:spacing w:line="276" w:lineRule="auto"/>
        <w:rPr>
          <w:rFonts w:ascii="华文中宋" w:eastAsia="华文中宋" w:hAnsi="华文中宋"/>
          <w:b/>
          <w:bCs/>
          <w:sz w:val="22"/>
          <w:szCs w:val="22"/>
        </w:rPr>
      </w:pPr>
      <w:r w:rsidRPr="00AC42B3">
        <w:rPr>
          <w:rFonts w:ascii="华文中宋" w:eastAsia="华文中宋" w:hAnsi="华文中宋" w:cs="宋体" w:hint="eastAsia"/>
          <w:b/>
          <w:bCs/>
          <w:color w:val="92D050"/>
          <w:sz w:val="22"/>
          <w:szCs w:val="22"/>
        </w:rPr>
        <w:t>税法速递：</w:t>
      </w:r>
      <w:r w:rsidRPr="006D7DBF">
        <w:rPr>
          <w:rFonts w:ascii="华文中宋" w:eastAsia="华文中宋" w:hAnsi="华文中宋" w:cs="宋体" w:hint="eastAsia"/>
          <w:sz w:val="22"/>
          <w:szCs w:val="22"/>
        </w:rPr>
        <w:t>订阅用户无需逐一查阅众多网站，便可一览当天的税法动态，以简明点睛的</w:t>
      </w:r>
      <w:r w:rsidRPr="006D7DBF">
        <w:rPr>
          <w:rFonts w:ascii="华文中宋" w:eastAsia="华文中宋" w:hAnsi="华文中宋" w:cs="宋体" w:hint="eastAsia"/>
          <w:sz w:val="22"/>
          <w:szCs w:val="22"/>
        </w:rPr>
        <w:lastRenderedPageBreak/>
        <w:t>文字对税法新政进行总结</w:t>
      </w:r>
    </w:p>
    <w:p w14:paraId="7893D3DC" w14:textId="77777777" w:rsidR="00D406A3" w:rsidRPr="006D7DBF" w:rsidRDefault="00D406A3" w:rsidP="00D406A3">
      <w:pPr>
        <w:spacing w:line="276" w:lineRule="auto"/>
        <w:rPr>
          <w:rFonts w:ascii="华文中宋" w:eastAsia="华文中宋" w:hAnsi="华文中宋"/>
          <w:sz w:val="22"/>
          <w:szCs w:val="22"/>
        </w:rPr>
      </w:pPr>
      <w:r w:rsidRPr="00AC42B3">
        <w:rPr>
          <w:rFonts w:ascii="华文中宋" w:eastAsia="华文中宋" w:hAnsi="华文中宋" w:cs="宋体" w:hint="eastAsia"/>
          <w:b/>
          <w:bCs/>
          <w:color w:val="92D050"/>
          <w:sz w:val="22"/>
          <w:szCs w:val="22"/>
        </w:rPr>
        <w:t>实务问答：</w:t>
      </w:r>
      <w:r w:rsidRPr="006D7DBF">
        <w:rPr>
          <w:rFonts w:ascii="华文中宋" w:eastAsia="华文中宋" w:hAnsi="华文中宋" w:cs="宋体" w:hint="eastAsia"/>
          <w:sz w:val="22"/>
          <w:szCs w:val="22"/>
        </w:rPr>
        <w:t>覆盖全国三十余个省市官方问答，一键搜索准确查找类似问题及官方回复；同时设立专家团队解答企业实务问题，提供一站式综合解决方案</w:t>
      </w:r>
    </w:p>
    <w:p w14:paraId="5A338D4B" w14:textId="77777777" w:rsidR="00D406A3" w:rsidRDefault="00D406A3" w:rsidP="00D406A3">
      <w:pPr>
        <w:pStyle w:val="a4"/>
        <w:shd w:val="clear" w:color="auto" w:fill="FFFFFF"/>
        <w:spacing w:before="0" w:beforeAutospacing="0" w:after="0" w:afterAutospacing="0" w:line="276" w:lineRule="auto"/>
        <w:jc w:val="both"/>
        <w:rPr>
          <w:rFonts w:ascii="华文中宋" w:eastAsia="华文中宋" w:hAnsi="华文中宋" w:cs="Times New Roman"/>
          <w:sz w:val="36"/>
          <w:szCs w:val="36"/>
          <w:shd w:val="clear" w:color="auto" w:fill="FFFFFF"/>
        </w:rPr>
      </w:pPr>
    </w:p>
    <w:p w14:paraId="06C04AB2" w14:textId="77777777" w:rsidR="00D406A3" w:rsidRDefault="00D406A3" w:rsidP="00D406A3">
      <w:pPr>
        <w:pStyle w:val="a4"/>
        <w:shd w:val="clear" w:color="auto" w:fill="FFFFFF"/>
        <w:spacing w:before="0" w:beforeAutospacing="0" w:after="0" w:afterAutospacing="0" w:line="276" w:lineRule="auto"/>
        <w:jc w:val="both"/>
        <w:rPr>
          <w:rFonts w:ascii="华文中宋" w:eastAsia="华文中宋" w:hAnsi="华文中宋" w:cs="Times New Roman"/>
          <w:sz w:val="36"/>
          <w:szCs w:val="36"/>
          <w:shd w:val="clear" w:color="auto" w:fill="FFFFFF"/>
        </w:rPr>
      </w:pPr>
    </w:p>
    <w:p w14:paraId="19FE36FA" w14:textId="77777777" w:rsidR="00D406A3" w:rsidRDefault="00D406A3" w:rsidP="00D406A3">
      <w:pPr>
        <w:pStyle w:val="a4"/>
        <w:shd w:val="clear" w:color="auto" w:fill="FFFFFF"/>
        <w:spacing w:before="0" w:beforeAutospacing="0" w:after="0" w:afterAutospacing="0" w:line="276" w:lineRule="auto"/>
        <w:jc w:val="both"/>
        <w:rPr>
          <w:rFonts w:ascii="华文中宋" w:eastAsia="华文中宋" w:hAnsi="华文中宋" w:cs="Times New Roman"/>
          <w:sz w:val="36"/>
          <w:szCs w:val="36"/>
          <w:shd w:val="clear" w:color="auto" w:fill="FFFFFF"/>
        </w:rPr>
      </w:pPr>
    </w:p>
    <w:p w14:paraId="488FE405" w14:textId="77777777" w:rsidR="00D406A3" w:rsidRDefault="00D406A3" w:rsidP="00D406A3">
      <w:pPr>
        <w:pStyle w:val="a4"/>
        <w:shd w:val="clear" w:color="auto" w:fill="FFFFFF"/>
        <w:spacing w:before="0" w:beforeAutospacing="0" w:after="0" w:afterAutospacing="0" w:line="276" w:lineRule="auto"/>
        <w:jc w:val="both"/>
        <w:rPr>
          <w:rFonts w:ascii="华文中宋" w:eastAsia="华文中宋" w:hAnsi="华文中宋" w:cs="Times New Roman"/>
          <w:sz w:val="36"/>
          <w:szCs w:val="36"/>
          <w:shd w:val="clear" w:color="auto" w:fill="FFFFFF"/>
        </w:rPr>
      </w:pPr>
    </w:p>
    <w:p w14:paraId="532B6D6E" w14:textId="77777777" w:rsidR="00D406A3" w:rsidRDefault="00D406A3" w:rsidP="00D406A3">
      <w:pPr>
        <w:pStyle w:val="a4"/>
        <w:shd w:val="clear" w:color="auto" w:fill="FFFFFF"/>
        <w:spacing w:before="0" w:beforeAutospacing="0" w:after="0" w:afterAutospacing="0" w:line="276" w:lineRule="auto"/>
        <w:jc w:val="both"/>
        <w:rPr>
          <w:rFonts w:ascii="华文中宋" w:eastAsia="华文中宋" w:hAnsi="华文中宋" w:cs="Times New Roman"/>
          <w:sz w:val="36"/>
          <w:szCs w:val="36"/>
          <w:shd w:val="clear" w:color="auto" w:fill="FFFFFF"/>
        </w:rPr>
      </w:pPr>
    </w:p>
    <w:p w14:paraId="4411F817" w14:textId="77777777" w:rsidR="00D406A3" w:rsidRDefault="00D406A3" w:rsidP="00D406A3">
      <w:pPr>
        <w:pStyle w:val="a4"/>
        <w:shd w:val="clear" w:color="auto" w:fill="FFFFFF"/>
        <w:spacing w:before="0" w:beforeAutospacing="0" w:after="0" w:afterAutospacing="0" w:line="276" w:lineRule="auto"/>
        <w:jc w:val="both"/>
        <w:rPr>
          <w:rFonts w:ascii="华文中宋" w:eastAsia="华文中宋" w:hAnsi="华文中宋" w:cs="Times New Roman"/>
          <w:sz w:val="36"/>
          <w:szCs w:val="36"/>
          <w:shd w:val="clear" w:color="auto" w:fill="FFFFFF"/>
        </w:rPr>
      </w:pPr>
    </w:p>
    <w:p w14:paraId="0067701D" w14:textId="77777777" w:rsidR="00D406A3" w:rsidRDefault="00D406A3" w:rsidP="00D406A3">
      <w:pPr>
        <w:pStyle w:val="a4"/>
        <w:shd w:val="clear" w:color="auto" w:fill="FFFFFF"/>
        <w:spacing w:before="0" w:beforeAutospacing="0" w:after="0" w:afterAutospacing="0" w:line="276" w:lineRule="auto"/>
        <w:jc w:val="both"/>
        <w:rPr>
          <w:rFonts w:ascii="华文中宋" w:eastAsia="华文中宋" w:hAnsi="华文中宋" w:cs="Times New Roman"/>
          <w:sz w:val="36"/>
          <w:szCs w:val="36"/>
          <w:shd w:val="clear" w:color="auto" w:fill="FFFFFF"/>
        </w:rPr>
      </w:pPr>
    </w:p>
    <w:p w14:paraId="1B44AF47" w14:textId="77777777" w:rsidR="00D406A3" w:rsidRDefault="00D406A3" w:rsidP="00D406A3">
      <w:pPr>
        <w:pStyle w:val="a4"/>
        <w:shd w:val="clear" w:color="auto" w:fill="FFFFFF"/>
        <w:spacing w:before="0" w:beforeAutospacing="0" w:after="0" w:afterAutospacing="0" w:line="276" w:lineRule="auto"/>
        <w:jc w:val="both"/>
        <w:rPr>
          <w:rFonts w:ascii="华文中宋" w:eastAsia="华文中宋" w:hAnsi="华文中宋" w:cs="Times New Roman"/>
          <w:sz w:val="36"/>
          <w:szCs w:val="36"/>
          <w:shd w:val="clear" w:color="auto" w:fill="FFFFFF"/>
        </w:rPr>
      </w:pPr>
    </w:p>
    <w:p w14:paraId="3504E6C0" w14:textId="77777777" w:rsidR="00D406A3" w:rsidRDefault="00D406A3" w:rsidP="00D406A3">
      <w:pPr>
        <w:pStyle w:val="a4"/>
        <w:shd w:val="clear" w:color="auto" w:fill="FFFFFF"/>
        <w:spacing w:before="0" w:beforeAutospacing="0" w:after="0" w:afterAutospacing="0" w:line="276" w:lineRule="auto"/>
        <w:jc w:val="both"/>
        <w:rPr>
          <w:rFonts w:ascii="华文中宋" w:eastAsia="华文中宋" w:hAnsi="华文中宋" w:cs="Times New Roman"/>
          <w:sz w:val="36"/>
          <w:szCs w:val="36"/>
          <w:shd w:val="clear" w:color="auto" w:fill="FFFFFF"/>
        </w:rPr>
      </w:pPr>
    </w:p>
    <w:p w14:paraId="18151F35" w14:textId="77777777" w:rsidR="00D406A3" w:rsidRDefault="00D406A3" w:rsidP="00D406A3">
      <w:pPr>
        <w:pStyle w:val="a4"/>
        <w:shd w:val="clear" w:color="auto" w:fill="FFFFFF"/>
        <w:spacing w:before="0" w:beforeAutospacing="0" w:after="0" w:afterAutospacing="0" w:line="276" w:lineRule="auto"/>
        <w:jc w:val="both"/>
        <w:rPr>
          <w:rFonts w:ascii="华文中宋" w:eastAsia="华文中宋" w:hAnsi="华文中宋" w:cs="Times New Roman"/>
          <w:sz w:val="36"/>
          <w:szCs w:val="36"/>
          <w:shd w:val="clear" w:color="auto" w:fill="FFFFFF"/>
        </w:rPr>
      </w:pPr>
    </w:p>
    <w:p w14:paraId="7D5AE45B" w14:textId="77777777" w:rsidR="00D406A3" w:rsidRDefault="00D406A3" w:rsidP="00D406A3">
      <w:pPr>
        <w:pStyle w:val="a4"/>
        <w:shd w:val="clear" w:color="auto" w:fill="FFFFFF"/>
        <w:spacing w:before="0" w:beforeAutospacing="0" w:after="0" w:afterAutospacing="0" w:line="276" w:lineRule="auto"/>
        <w:jc w:val="both"/>
        <w:rPr>
          <w:rFonts w:ascii="华文中宋" w:eastAsia="华文中宋" w:hAnsi="华文中宋" w:cs="Times New Roman"/>
          <w:sz w:val="36"/>
          <w:szCs w:val="36"/>
          <w:shd w:val="clear" w:color="auto" w:fill="FFFFFF"/>
        </w:rPr>
      </w:pPr>
    </w:p>
    <w:p w14:paraId="22F7686D" w14:textId="77777777" w:rsidR="00D406A3" w:rsidRDefault="00D406A3" w:rsidP="00D406A3">
      <w:pPr>
        <w:pStyle w:val="a4"/>
        <w:shd w:val="clear" w:color="auto" w:fill="FFFFFF"/>
        <w:spacing w:before="0" w:beforeAutospacing="0" w:after="0" w:afterAutospacing="0" w:line="276" w:lineRule="auto"/>
        <w:jc w:val="both"/>
        <w:rPr>
          <w:rFonts w:ascii="华文中宋" w:eastAsia="华文中宋" w:hAnsi="华文中宋" w:cs="Times New Roman"/>
          <w:sz w:val="36"/>
          <w:szCs w:val="36"/>
          <w:shd w:val="clear" w:color="auto" w:fill="FFFFFF"/>
        </w:rPr>
      </w:pPr>
    </w:p>
    <w:p w14:paraId="5D3BFCAD" w14:textId="77777777" w:rsidR="00C25FE2" w:rsidRPr="00D406A3" w:rsidRDefault="00C25FE2"/>
    <w:sectPr w:rsidR="00C25FE2" w:rsidRPr="00D406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Helvetica Neue">
    <w:charset w:val="00"/>
    <w:family w:val="auto"/>
    <w:pitch w:val="default"/>
    <w:sig w:usb0="E50002FF" w:usb1="500079DB" w:usb2="0000001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F7F1"/>
      </v:shape>
    </w:pict>
  </w:numPicBullet>
  <w:abstractNum w:abstractNumId="0" w15:restartNumberingAfterBreak="0">
    <w:nsid w:val="5FB20BED"/>
    <w:multiLevelType w:val="hybridMultilevel"/>
    <w:tmpl w:val="D778B7BA"/>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63772846"/>
    <w:multiLevelType w:val="hybridMultilevel"/>
    <w:tmpl w:val="59DCD4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41393078">
    <w:abstractNumId w:val="0"/>
  </w:num>
  <w:num w:numId="2" w16cid:durableId="697975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A3"/>
    <w:rsid w:val="00C25FE2"/>
    <w:rsid w:val="00D40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ACCFF"/>
  <w15:chartTrackingRefBased/>
  <w15:docId w15:val="{B220F179-899D-4096-87F0-53DCF920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6A3"/>
    <w:pPr>
      <w:widowControl w:val="0"/>
      <w:jc w:val="both"/>
    </w:pPr>
    <w:rPr>
      <w:sz w:val="24"/>
      <w:szCs w:val="24"/>
    </w:rPr>
  </w:style>
  <w:style w:type="paragraph" w:styleId="2">
    <w:name w:val="heading 2"/>
    <w:basedOn w:val="a"/>
    <w:next w:val="a"/>
    <w:link w:val="20"/>
    <w:uiPriority w:val="9"/>
    <w:unhideWhenUsed/>
    <w:qFormat/>
    <w:rsid w:val="00D406A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D406A3"/>
    <w:rPr>
      <w:rFonts w:asciiTheme="majorHAnsi" w:eastAsiaTheme="majorEastAsia" w:hAnsiTheme="majorHAnsi" w:cstheme="majorBidi"/>
      <w:b/>
      <w:bCs/>
      <w:sz w:val="32"/>
      <w:szCs w:val="32"/>
    </w:rPr>
  </w:style>
  <w:style w:type="paragraph" w:styleId="a3">
    <w:name w:val="List Paragraph"/>
    <w:basedOn w:val="a"/>
    <w:uiPriority w:val="99"/>
    <w:qFormat/>
    <w:rsid w:val="00D406A3"/>
    <w:pPr>
      <w:ind w:firstLineChars="200" w:firstLine="420"/>
    </w:pPr>
  </w:style>
  <w:style w:type="paragraph" w:styleId="a4">
    <w:name w:val="Normal (Web)"/>
    <w:basedOn w:val="a"/>
    <w:uiPriority w:val="99"/>
    <w:unhideWhenUsed/>
    <w:rsid w:val="00D406A3"/>
    <w:pPr>
      <w:widowControl/>
      <w:spacing w:before="100" w:beforeAutospacing="1" w:after="100" w:afterAutospacing="1"/>
      <w:jc w:val="left"/>
    </w:pPr>
    <w:rPr>
      <w:rFonts w:ascii="宋体" w:eastAsia="宋体" w:hAnsi="宋体" w:cs="宋体"/>
      <w:kern w:val="0"/>
    </w:rPr>
  </w:style>
  <w:style w:type="paragraph" w:styleId="a5">
    <w:name w:val="Intense Quote"/>
    <w:basedOn w:val="a"/>
    <w:next w:val="a"/>
    <w:link w:val="a6"/>
    <w:uiPriority w:val="30"/>
    <w:qFormat/>
    <w:rsid w:val="00D406A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6">
    <w:name w:val="明显引用 字符"/>
    <w:basedOn w:val="a0"/>
    <w:link w:val="a5"/>
    <w:uiPriority w:val="30"/>
    <w:rsid w:val="00D406A3"/>
    <w:rPr>
      <w:i/>
      <w:iCs/>
      <w:color w:val="4472C4" w:themeColor="accent1"/>
      <w:sz w:val="24"/>
      <w:szCs w:val="24"/>
    </w:rPr>
  </w:style>
  <w:style w:type="character" w:styleId="a7">
    <w:name w:val="Intense Emphasis"/>
    <w:basedOn w:val="a0"/>
    <w:uiPriority w:val="21"/>
    <w:qFormat/>
    <w:rsid w:val="00D406A3"/>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Alonzo</dc:creator>
  <cp:keywords/>
  <dc:description/>
  <cp:lastModifiedBy>Jiang, Alonzo</cp:lastModifiedBy>
  <cp:revision>1</cp:revision>
  <dcterms:created xsi:type="dcterms:W3CDTF">2022-09-27T08:33:00Z</dcterms:created>
  <dcterms:modified xsi:type="dcterms:W3CDTF">2022-09-27T08:34:00Z</dcterms:modified>
</cp:coreProperties>
</file>